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1C29" w14:textId="77777777" w:rsidR="00E96F1C" w:rsidRDefault="00E96F1C" w:rsidP="00E96F1C">
      <w:pPr>
        <w:autoSpaceDE w:val="0"/>
        <w:autoSpaceDN w:val="0"/>
        <w:adjustRightInd w:val="0"/>
        <w:spacing w:after="0" w:line="240" w:lineRule="auto"/>
        <w:jc w:val="center"/>
        <w:rPr>
          <w:rFonts w:ascii="Century" w:eastAsia="Calibri" w:hAnsi="Century" w:cs="Tahoma"/>
          <w:sz w:val="24"/>
          <w:szCs w:val="24"/>
        </w:rPr>
      </w:pPr>
    </w:p>
    <w:p w14:paraId="3246032C" w14:textId="303B819A" w:rsidR="00E96F1C" w:rsidRPr="00FF323C" w:rsidRDefault="00E96F1C" w:rsidP="00E96F1C">
      <w:pPr>
        <w:autoSpaceDE w:val="0"/>
        <w:autoSpaceDN w:val="0"/>
        <w:adjustRightInd w:val="0"/>
        <w:spacing w:after="0" w:line="240" w:lineRule="auto"/>
        <w:jc w:val="center"/>
        <w:rPr>
          <w:rFonts w:ascii="Century" w:eastAsia="Calibri" w:hAnsi="Century" w:cs="Tahoma"/>
          <w:sz w:val="24"/>
          <w:szCs w:val="24"/>
        </w:rPr>
      </w:pPr>
      <w:r w:rsidRPr="00FF323C">
        <w:rPr>
          <w:rFonts w:ascii="Century" w:eastAsia="Calibri" w:hAnsi="Century" w:cs="Tahoma"/>
          <w:sz w:val="24"/>
          <w:szCs w:val="24"/>
        </w:rPr>
        <w:t>GEORGIA</w:t>
      </w:r>
      <w:r>
        <w:rPr>
          <w:rFonts w:ascii="Century" w:eastAsia="Calibri" w:hAnsi="Century" w:cs="Tahoma"/>
          <w:sz w:val="24"/>
          <w:szCs w:val="24"/>
        </w:rPr>
        <w:t xml:space="preserve"> </w:t>
      </w:r>
      <w:r w:rsidR="00C1236B">
        <w:rPr>
          <w:rFonts w:ascii="Century" w:eastAsia="Calibri" w:hAnsi="Century" w:cs="Tahoma"/>
          <w:sz w:val="24"/>
          <w:szCs w:val="24"/>
        </w:rPr>
        <w:t>REOPENS</w:t>
      </w:r>
      <w:r w:rsidRPr="00FF323C">
        <w:rPr>
          <w:rFonts w:ascii="Century" w:eastAsia="Calibri" w:hAnsi="Century" w:cs="Tahoma"/>
          <w:sz w:val="24"/>
          <w:szCs w:val="24"/>
        </w:rPr>
        <w:t xml:space="preserve"> OYSTER HARVEST</w:t>
      </w:r>
      <w:r>
        <w:rPr>
          <w:rFonts w:ascii="Century" w:eastAsia="Calibri" w:hAnsi="Century" w:cs="Tahoma"/>
          <w:sz w:val="24"/>
          <w:szCs w:val="24"/>
        </w:rPr>
        <w:t xml:space="preserve"> </w:t>
      </w:r>
      <w:r w:rsidRPr="00FF323C">
        <w:rPr>
          <w:rFonts w:ascii="Century" w:eastAsia="Calibri" w:hAnsi="Century" w:cs="Tahoma"/>
          <w:sz w:val="24"/>
          <w:szCs w:val="24"/>
        </w:rPr>
        <w:t>IN STATE WATERS</w:t>
      </w:r>
    </w:p>
    <w:p w14:paraId="42F48441" w14:textId="77777777" w:rsidR="00E96F1C" w:rsidRPr="00FF323C" w:rsidRDefault="00E96F1C" w:rsidP="00E96F1C">
      <w:pPr>
        <w:autoSpaceDE w:val="0"/>
        <w:autoSpaceDN w:val="0"/>
        <w:adjustRightInd w:val="0"/>
        <w:spacing w:after="0" w:line="240" w:lineRule="auto"/>
        <w:jc w:val="center"/>
        <w:rPr>
          <w:rFonts w:ascii="Century" w:eastAsia="Calibri" w:hAnsi="Century" w:cs="Tahoma"/>
        </w:rPr>
      </w:pPr>
    </w:p>
    <w:p w14:paraId="05A2F075" w14:textId="6B79B404" w:rsidR="00AD6CE0" w:rsidRPr="00AD6CE0" w:rsidRDefault="00E96F1C" w:rsidP="00AD6CE0">
      <w:pPr>
        <w:autoSpaceDE w:val="0"/>
        <w:autoSpaceDN w:val="0"/>
        <w:adjustRightInd w:val="0"/>
        <w:spacing w:after="0" w:line="240" w:lineRule="auto"/>
        <w:jc w:val="both"/>
        <w:rPr>
          <w:rFonts w:ascii="Century" w:eastAsia="Calibri" w:hAnsi="Century" w:cs="Tahoma"/>
        </w:rPr>
      </w:pPr>
      <w:r w:rsidRPr="00745FF4">
        <w:rPr>
          <w:rFonts w:ascii="Century" w:eastAsia="Calibri" w:hAnsi="Century" w:cs="Tahoma"/>
        </w:rPr>
        <w:t>Brunswick, GA (</w:t>
      </w:r>
      <w:r w:rsidR="00C1236B">
        <w:rPr>
          <w:rFonts w:ascii="Century" w:eastAsia="Calibri" w:hAnsi="Century" w:cs="Tahoma"/>
        </w:rPr>
        <w:t>October</w:t>
      </w:r>
      <w:r>
        <w:rPr>
          <w:rFonts w:ascii="Century" w:eastAsia="Calibri" w:hAnsi="Century" w:cs="Tahoma"/>
        </w:rPr>
        <w:t xml:space="preserve"> </w:t>
      </w:r>
      <w:r w:rsidR="005615AE">
        <w:rPr>
          <w:rFonts w:ascii="Century" w:eastAsia="Calibri" w:hAnsi="Century" w:cs="Tahoma"/>
        </w:rPr>
        <w:t>6</w:t>
      </w:r>
      <w:r w:rsidRPr="00745FF4">
        <w:rPr>
          <w:rFonts w:ascii="Century" w:eastAsia="Calibri" w:hAnsi="Century" w:cs="Tahoma"/>
        </w:rPr>
        <w:t>, 20</w:t>
      </w:r>
      <w:r w:rsidR="0069002B">
        <w:rPr>
          <w:rFonts w:ascii="Century" w:eastAsia="Calibri" w:hAnsi="Century" w:cs="Tahoma"/>
        </w:rPr>
        <w:t>26</w:t>
      </w:r>
      <w:r w:rsidRPr="00745FF4">
        <w:rPr>
          <w:rFonts w:ascii="Century" w:eastAsia="Calibri" w:hAnsi="Century" w:cs="Tahoma"/>
        </w:rPr>
        <w:t xml:space="preserve">) – Commissioner </w:t>
      </w:r>
      <w:r w:rsidR="0069002B">
        <w:rPr>
          <w:rFonts w:ascii="Century" w:eastAsia="Calibri" w:hAnsi="Century" w:cs="Tahoma"/>
        </w:rPr>
        <w:t>Walter</w:t>
      </w:r>
      <w:r w:rsidRPr="00745FF4">
        <w:rPr>
          <w:rFonts w:ascii="Century" w:eastAsia="Calibri" w:hAnsi="Century" w:cs="Tahoma"/>
        </w:rPr>
        <w:t xml:space="preserve"> </w:t>
      </w:r>
      <w:r w:rsidR="0069002B">
        <w:rPr>
          <w:rFonts w:ascii="Century" w:eastAsia="Calibri" w:hAnsi="Century" w:cs="Tahoma"/>
        </w:rPr>
        <w:t>Rabon</w:t>
      </w:r>
      <w:r w:rsidRPr="00745FF4">
        <w:rPr>
          <w:rFonts w:ascii="Century" w:eastAsia="Calibri" w:hAnsi="Century" w:cs="Tahoma"/>
        </w:rPr>
        <w:t xml:space="preserve"> has announced that Georgia's territorial waters will re</w:t>
      </w:r>
      <w:r w:rsidR="00FA5F17">
        <w:rPr>
          <w:rFonts w:ascii="Century" w:eastAsia="Calibri" w:hAnsi="Century" w:cs="Tahoma"/>
        </w:rPr>
        <w:t>open</w:t>
      </w:r>
      <w:r w:rsidRPr="00745FF4">
        <w:rPr>
          <w:rFonts w:ascii="Century" w:eastAsia="Calibri" w:hAnsi="Century" w:cs="Tahoma"/>
        </w:rPr>
        <w:t xml:space="preserve"> to commercial and recreational oyster harvest effective 6:00 a.m., </w:t>
      </w:r>
      <w:r w:rsidR="0069002B">
        <w:rPr>
          <w:rFonts w:ascii="Century" w:eastAsia="Calibri" w:hAnsi="Century" w:cs="Tahoma"/>
        </w:rPr>
        <w:t>Thursday</w:t>
      </w:r>
      <w:r w:rsidRPr="00745FF4">
        <w:rPr>
          <w:rFonts w:ascii="Century" w:eastAsia="Calibri" w:hAnsi="Century" w:cs="Tahoma"/>
        </w:rPr>
        <w:t xml:space="preserve">, October </w:t>
      </w:r>
      <w:r w:rsidR="00FA5F17">
        <w:rPr>
          <w:rFonts w:ascii="Century" w:eastAsia="Calibri" w:hAnsi="Century" w:cs="Tahoma"/>
        </w:rPr>
        <w:t>8</w:t>
      </w:r>
      <w:r w:rsidRPr="00745FF4">
        <w:rPr>
          <w:rFonts w:ascii="Century" w:eastAsia="Calibri" w:hAnsi="Century" w:cs="Tahoma"/>
        </w:rPr>
        <w:t>, 20</w:t>
      </w:r>
      <w:r w:rsidR="0069002B">
        <w:rPr>
          <w:rFonts w:ascii="Century" w:eastAsia="Calibri" w:hAnsi="Century" w:cs="Tahoma"/>
        </w:rPr>
        <w:t>26</w:t>
      </w:r>
      <w:r w:rsidRPr="00745FF4">
        <w:rPr>
          <w:rFonts w:ascii="Century" w:eastAsia="Calibri" w:hAnsi="Century" w:cs="Tahoma"/>
        </w:rPr>
        <w:t>.  Since 2008</w:t>
      </w:r>
      <w:r>
        <w:rPr>
          <w:rFonts w:ascii="Century" w:eastAsia="Calibri" w:hAnsi="Century" w:cs="Tahoma"/>
        </w:rPr>
        <w:t>, t</w:t>
      </w:r>
      <w:r w:rsidRPr="00745FF4">
        <w:rPr>
          <w:rFonts w:ascii="Century" w:hAnsi="Century" w:cs="Calibri"/>
        </w:rPr>
        <w:t xml:space="preserve">he Commissioner of Natural Resources has closed the salt waters of this State to the commercial and recreational harvest of oysters for human consumption from June through September of every year </w:t>
      </w:r>
      <w:r>
        <w:rPr>
          <w:rFonts w:ascii="Century" w:hAnsi="Century" w:cs="Calibri"/>
        </w:rPr>
        <w:t xml:space="preserve">to address </w:t>
      </w:r>
      <w:r w:rsidRPr="00745FF4">
        <w:rPr>
          <w:rFonts w:ascii="Century" w:hAnsi="Century" w:cs="Calibri"/>
        </w:rPr>
        <w:t xml:space="preserve">management requirements. </w:t>
      </w:r>
      <w:r>
        <w:rPr>
          <w:rFonts w:ascii="Century" w:hAnsi="Century" w:cs="Calibri"/>
        </w:rPr>
        <w:t xml:space="preserve">Due to </w:t>
      </w:r>
      <w:proofErr w:type="gramStart"/>
      <w:r>
        <w:rPr>
          <w:rFonts w:ascii="Century" w:hAnsi="Century" w:cs="Calibri"/>
        </w:rPr>
        <w:t>higher than average</w:t>
      </w:r>
      <w:proofErr w:type="gramEnd"/>
      <w:r>
        <w:rPr>
          <w:rFonts w:ascii="Century" w:hAnsi="Century" w:cs="Calibri"/>
        </w:rPr>
        <w:t xml:space="preserve"> water temperatures coastwide for the month of September, a</w:t>
      </w:r>
      <w:r w:rsidRPr="00745FF4">
        <w:rPr>
          <w:rFonts w:ascii="Century" w:eastAsia="Calibri" w:hAnsi="Century" w:cs="Tahoma"/>
        </w:rPr>
        <w:t xml:space="preserve">n extension of the existing closure </w:t>
      </w:r>
      <w:r w:rsidRPr="003F50F9">
        <w:rPr>
          <w:rFonts w:ascii="Century" w:eastAsia="Calibri" w:hAnsi="Century" w:cs="Tahoma"/>
        </w:rPr>
        <w:t>w</w:t>
      </w:r>
      <w:r w:rsidR="00FA5F17">
        <w:rPr>
          <w:rFonts w:ascii="Century" w:eastAsia="Calibri" w:hAnsi="Century" w:cs="Tahoma"/>
        </w:rPr>
        <w:t>as</w:t>
      </w:r>
      <w:r w:rsidRPr="003F50F9">
        <w:rPr>
          <w:rFonts w:ascii="Century" w:eastAsia="Calibri" w:hAnsi="Century" w:cs="Tahoma"/>
        </w:rPr>
        <w:t xml:space="preserve"> </w:t>
      </w:r>
      <w:r>
        <w:rPr>
          <w:rFonts w:ascii="Century" w:eastAsia="Calibri" w:hAnsi="Century" w:cs="Tahoma"/>
        </w:rPr>
        <w:t>implemented</w:t>
      </w:r>
      <w:r w:rsidRPr="00745FF4">
        <w:rPr>
          <w:rFonts w:ascii="Century" w:eastAsia="Calibri" w:hAnsi="Century" w:cs="Tahoma"/>
        </w:rPr>
        <w:t xml:space="preserve"> to allow for water temperatures to decrease below the control plan threshold of 81-degrees</w:t>
      </w:r>
      <w:r>
        <w:rPr>
          <w:rFonts w:ascii="Century" w:eastAsia="Calibri" w:hAnsi="Century" w:cs="Tahoma"/>
        </w:rPr>
        <w:t>.</w:t>
      </w:r>
      <w:r w:rsidR="00FA5F17">
        <w:rPr>
          <w:rFonts w:ascii="Century" w:eastAsia="Calibri" w:hAnsi="Century" w:cs="Tahoma"/>
        </w:rPr>
        <w:t xml:space="preserve"> </w:t>
      </w:r>
      <w:r w:rsidR="00AD6CE0" w:rsidRPr="00AD6CE0">
        <w:rPr>
          <w:rFonts w:ascii="Century" w:eastAsia="Calibri" w:hAnsi="Century" w:cs="Tahoma"/>
        </w:rPr>
        <w:t xml:space="preserve">Based on </w:t>
      </w:r>
      <w:proofErr w:type="gramStart"/>
      <w:r w:rsidR="0055093C" w:rsidRPr="00AD6CE0">
        <w:rPr>
          <w:rFonts w:ascii="Century" w:eastAsia="Calibri" w:hAnsi="Century" w:cs="Tahoma"/>
        </w:rPr>
        <w:t>current</w:t>
      </w:r>
      <w:r w:rsidR="0055093C">
        <w:rPr>
          <w:rFonts w:ascii="Century" w:eastAsia="Calibri" w:hAnsi="Century" w:cs="Tahoma"/>
        </w:rPr>
        <w:t xml:space="preserve"> and</w:t>
      </w:r>
      <w:proofErr w:type="gramEnd"/>
      <w:r w:rsidR="0055093C">
        <w:rPr>
          <w:rFonts w:ascii="Century" w:eastAsia="Calibri" w:hAnsi="Century" w:cs="Tahoma"/>
        </w:rPr>
        <w:t xml:space="preserve"> </w:t>
      </w:r>
      <w:proofErr w:type="gramStart"/>
      <w:r w:rsidR="0055093C">
        <w:rPr>
          <w:rFonts w:ascii="Century" w:eastAsia="Calibri" w:hAnsi="Century" w:cs="Tahoma"/>
        </w:rPr>
        <w:t xml:space="preserve">forecasted </w:t>
      </w:r>
      <w:r w:rsidR="00AD6CE0" w:rsidRPr="00AD6CE0">
        <w:rPr>
          <w:rFonts w:ascii="Century" w:eastAsia="Calibri" w:hAnsi="Century" w:cs="Tahoma"/>
        </w:rPr>
        <w:t>observations</w:t>
      </w:r>
      <w:proofErr w:type="gramEnd"/>
      <w:r w:rsidR="00AD6CE0" w:rsidRPr="00AD6CE0">
        <w:rPr>
          <w:rFonts w:ascii="Century" w:eastAsia="Calibri" w:hAnsi="Century" w:cs="Tahoma"/>
        </w:rPr>
        <w:t xml:space="preserve">, water temperatures </w:t>
      </w:r>
      <w:r w:rsidR="0055093C">
        <w:rPr>
          <w:rFonts w:ascii="Century" w:eastAsia="Calibri" w:hAnsi="Century" w:cs="Tahoma"/>
        </w:rPr>
        <w:t>should continue to decline</w:t>
      </w:r>
      <w:r w:rsidR="00AD6CE0" w:rsidRPr="00AD6CE0">
        <w:rPr>
          <w:rFonts w:ascii="Century" w:eastAsia="Calibri" w:hAnsi="Century" w:cs="Tahoma"/>
        </w:rPr>
        <w:t xml:space="preserve"> several degrees and </w:t>
      </w:r>
      <w:r w:rsidR="0055093C">
        <w:rPr>
          <w:rFonts w:ascii="Century" w:eastAsia="Calibri" w:hAnsi="Century" w:cs="Tahoma"/>
        </w:rPr>
        <w:t>fall below</w:t>
      </w:r>
      <w:r w:rsidR="00AD6CE0" w:rsidRPr="00AD6CE0">
        <w:rPr>
          <w:rFonts w:ascii="Century" w:eastAsia="Calibri" w:hAnsi="Century" w:cs="Tahoma"/>
        </w:rPr>
        <w:t xml:space="preserve"> the 81-degree Fahrenheit threshold along the coast.        </w:t>
      </w:r>
    </w:p>
    <w:p w14:paraId="1092A35B" w14:textId="77777777" w:rsidR="00E96F1C" w:rsidRDefault="00E96F1C" w:rsidP="00E96F1C">
      <w:pPr>
        <w:autoSpaceDE w:val="0"/>
        <w:autoSpaceDN w:val="0"/>
        <w:adjustRightInd w:val="0"/>
        <w:spacing w:after="0" w:line="240" w:lineRule="auto"/>
        <w:jc w:val="both"/>
        <w:rPr>
          <w:rFonts w:ascii="Century" w:eastAsia="Calibri" w:hAnsi="Century" w:cs="Tahoma"/>
        </w:rPr>
      </w:pPr>
    </w:p>
    <w:p w14:paraId="4045A30D" w14:textId="6EE91770" w:rsidR="00E96F1C" w:rsidRDefault="00E96F1C" w:rsidP="00E96F1C">
      <w:pPr>
        <w:autoSpaceDE w:val="0"/>
        <w:autoSpaceDN w:val="0"/>
        <w:adjustRightInd w:val="0"/>
        <w:spacing w:after="0" w:line="240" w:lineRule="auto"/>
        <w:jc w:val="both"/>
        <w:rPr>
          <w:rFonts w:ascii="Century" w:eastAsia="Calibri" w:hAnsi="Century" w:cs="Tahoma"/>
        </w:rPr>
      </w:pPr>
      <w:r w:rsidRPr="00FF323C">
        <w:rPr>
          <w:rFonts w:ascii="Century" w:eastAsia="Calibri" w:hAnsi="Century" w:cs="Tahoma"/>
        </w:rPr>
        <w:t xml:space="preserve">“This </w:t>
      </w:r>
      <w:r>
        <w:rPr>
          <w:rFonts w:ascii="Century" w:eastAsia="Calibri" w:hAnsi="Century" w:cs="Tahoma"/>
        </w:rPr>
        <w:t xml:space="preserve">extended </w:t>
      </w:r>
      <w:r w:rsidRPr="00FF323C">
        <w:rPr>
          <w:rFonts w:ascii="Century" w:eastAsia="Calibri" w:hAnsi="Century" w:cs="Tahoma"/>
        </w:rPr>
        <w:t>closure ensure</w:t>
      </w:r>
      <w:r w:rsidR="00C822B4">
        <w:rPr>
          <w:rFonts w:ascii="Century" w:eastAsia="Calibri" w:hAnsi="Century" w:cs="Tahoma"/>
        </w:rPr>
        <w:t>d</w:t>
      </w:r>
      <w:r w:rsidRPr="00FF323C">
        <w:rPr>
          <w:rFonts w:ascii="Century" w:eastAsia="Calibri" w:hAnsi="Century" w:cs="Tahoma"/>
        </w:rPr>
        <w:t xml:space="preserve"> that Georgia </w:t>
      </w:r>
      <w:r>
        <w:rPr>
          <w:rFonts w:ascii="Century" w:eastAsia="Calibri" w:hAnsi="Century" w:cs="Tahoma"/>
        </w:rPr>
        <w:t>continue</w:t>
      </w:r>
      <w:r w:rsidR="00C822B4">
        <w:rPr>
          <w:rFonts w:ascii="Century" w:eastAsia="Calibri" w:hAnsi="Century" w:cs="Tahoma"/>
        </w:rPr>
        <w:t>d</w:t>
      </w:r>
      <w:r>
        <w:rPr>
          <w:rFonts w:ascii="Century" w:eastAsia="Calibri" w:hAnsi="Century" w:cs="Tahoma"/>
        </w:rPr>
        <w:t xml:space="preserve"> to </w:t>
      </w:r>
      <w:r w:rsidRPr="00FF323C">
        <w:rPr>
          <w:rFonts w:ascii="Century" w:eastAsia="Calibri" w:hAnsi="Century" w:cs="Tahoma"/>
        </w:rPr>
        <w:t xml:space="preserve">meet the requirements of the National Shellfish Sanitation Program to protect public health by implementing a </w:t>
      </w:r>
      <w:r w:rsidRPr="003F50F9">
        <w:rPr>
          <w:rFonts w:ascii="Century" w:eastAsia="Calibri" w:hAnsi="Century" w:cs="Tahoma"/>
          <w:i/>
        </w:rPr>
        <w:t>Vibrio parahaemolyticus</w:t>
      </w:r>
      <w:r w:rsidRPr="00FF323C">
        <w:rPr>
          <w:rFonts w:ascii="Century" w:eastAsia="Calibri" w:hAnsi="Century" w:cs="Tahoma"/>
        </w:rPr>
        <w:t xml:space="preserve"> </w:t>
      </w:r>
      <w:r>
        <w:rPr>
          <w:rFonts w:ascii="Century" w:eastAsia="Calibri" w:hAnsi="Century" w:cs="Tahoma"/>
        </w:rPr>
        <w:t>(</w:t>
      </w:r>
      <w:proofErr w:type="spellStart"/>
      <w:r>
        <w:rPr>
          <w:rFonts w:ascii="Century" w:eastAsia="Calibri" w:hAnsi="Century" w:cs="Tahoma"/>
        </w:rPr>
        <w:t>Vp</w:t>
      </w:r>
      <w:proofErr w:type="spellEnd"/>
      <w:r>
        <w:rPr>
          <w:rFonts w:ascii="Century" w:eastAsia="Calibri" w:hAnsi="Century" w:cs="Tahoma"/>
        </w:rPr>
        <w:t xml:space="preserve">) </w:t>
      </w:r>
      <w:r w:rsidRPr="00FF323C">
        <w:rPr>
          <w:rFonts w:ascii="Century" w:eastAsia="Calibri" w:hAnsi="Century" w:cs="Tahoma"/>
        </w:rPr>
        <w:t xml:space="preserve">control plan,” explained Dominic Guadagnoli, shellfish fishery manager for the Coastal Resources Division. </w:t>
      </w:r>
    </w:p>
    <w:p w14:paraId="1DD2D159" w14:textId="77777777" w:rsidR="00366863" w:rsidRPr="00FF323C" w:rsidRDefault="00366863" w:rsidP="00E96F1C">
      <w:pPr>
        <w:autoSpaceDE w:val="0"/>
        <w:autoSpaceDN w:val="0"/>
        <w:adjustRightInd w:val="0"/>
        <w:spacing w:after="0" w:line="240" w:lineRule="auto"/>
        <w:jc w:val="both"/>
        <w:rPr>
          <w:rFonts w:ascii="Century" w:eastAsia="Calibri" w:hAnsi="Century" w:cs="Tahoma"/>
        </w:rPr>
      </w:pPr>
    </w:p>
    <w:p w14:paraId="7D517D20" w14:textId="77777777" w:rsidR="00AC18E9" w:rsidRPr="00AC18E9" w:rsidRDefault="00AC18E9" w:rsidP="00AC18E9">
      <w:pPr>
        <w:spacing w:after="200" w:line="276" w:lineRule="auto"/>
        <w:rPr>
          <w:rFonts w:ascii="Century" w:eastAsia="Calibri" w:hAnsi="Century" w:cs="Times New Roman"/>
        </w:rPr>
      </w:pPr>
      <w:r w:rsidRPr="00AC18E9">
        <w:rPr>
          <w:rFonts w:ascii="Century" w:eastAsia="Calibri" w:hAnsi="Century" w:cs="Times New Roman"/>
        </w:rPr>
        <w:t xml:space="preserve">The fall and winter season when the temperatures begin to cool is when most consumers purchase shellfish. Here are a few things to remember or look for when buying oysters, clams, or mussels from seafood dealers and markets.  </w:t>
      </w:r>
    </w:p>
    <w:p w14:paraId="3A3A2F5C" w14:textId="77777777" w:rsidR="00AC18E9" w:rsidRPr="00AC18E9" w:rsidRDefault="00AC18E9" w:rsidP="0042215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entury" w:eastAsia="Calibri" w:hAnsi="Century" w:cs="Times New Roman"/>
          <w:color w:val="000000"/>
        </w:rPr>
      </w:pPr>
      <w:r w:rsidRPr="00AC18E9">
        <w:rPr>
          <w:rFonts w:ascii="Century" w:eastAsia="Calibri" w:hAnsi="Century" w:cs="Times New Roman"/>
          <w:color w:val="000000"/>
        </w:rPr>
        <w:t>Only buy fresh in-shell oysters, clams, or mussels from a licensed retail or wholesale seafood dealer that has product properly tagged with a harvest location, dealer name and date. Likewise, when buying in-shell processed or shucked oysters, clams, or mussels ensure that the product has been processed by a certified dealer with the name, address, and dealer certificate number on the tag or label.</w:t>
      </w:r>
    </w:p>
    <w:p w14:paraId="6537A447" w14:textId="77777777" w:rsidR="00AC18E9" w:rsidRPr="00AC18E9" w:rsidRDefault="00AC18E9" w:rsidP="0042215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entury" w:eastAsia="Calibri" w:hAnsi="Century" w:cs="Times New Roman"/>
          <w:color w:val="000000"/>
        </w:rPr>
      </w:pPr>
      <w:r w:rsidRPr="00AC18E9">
        <w:rPr>
          <w:rFonts w:ascii="Century" w:eastAsia="Calibri" w:hAnsi="Century" w:cs="Times New Roman"/>
          <w:color w:val="000000"/>
        </w:rPr>
        <w:t>Also, only buy shellfish that have been refrigerated or iced at 45</w:t>
      </w:r>
      <w:r w:rsidRPr="00AC18E9">
        <w:rPr>
          <w:rFonts w:ascii="Cambria Math" w:eastAsia="Calibri" w:hAnsi="Cambria Math" w:cs="Cambria Math"/>
          <w:color w:val="000000"/>
        </w:rPr>
        <w:t>⁰</w:t>
      </w:r>
      <w:r w:rsidRPr="00AC18E9">
        <w:rPr>
          <w:rFonts w:ascii="Century" w:eastAsia="Calibri" w:hAnsi="Century" w:cs="Times New Roman"/>
          <w:color w:val="000000"/>
        </w:rPr>
        <w:t xml:space="preserve"> F or less.</w:t>
      </w:r>
    </w:p>
    <w:p w14:paraId="22A6190D" w14:textId="77777777" w:rsidR="00AC18E9" w:rsidRPr="00AC18E9" w:rsidRDefault="00AC18E9" w:rsidP="0042215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entury" w:eastAsia="Calibri" w:hAnsi="Century" w:cs="Times New Roman"/>
          <w:color w:val="000000"/>
        </w:rPr>
      </w:pPr>
      <w:r w:rsidRPr="00AC18E9">
        <w:rPr>
          <w:rFonts w:ascii="Century" w:eastAsia="Calibri" w:hAnsi="Century" w:cs="Times New Roman"/>
          <w:color w:val="000000"/>
        </w:rPr>
        <w:t>Shellfish should never be consumed raw by individuals that have a compromised immune system such as diabetes, liver disease, cancer, and other disorders.</w:t>
      </w:r>
    </w:p>
    <w:p w14:paraId="591BD8B8" w14:textId="77777777" w:rsidR="00AC18E9" w:rsidRPr="00AC18E9" w:rsidRDefault="00AC18E9" w:rsidP="0042215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entury" w:eastAsia="Calibri" w:hAnsi="Century" w:cs="Times New Roman"/>
          <w:color w:val="000000"/>
        </w:rPr>
      </w:pPr>
      <w:r w:rsidRPr="00AC18E9">
        <w:rPr>
          <w:rFonts w:ascii="Century" w:eastAsia="Calibri" w:hAnsi="Century" w:cs="Times New Roman"/>
          <w:color w:val="000000"/>
        </w:rPr>
        <w:t xml:space="preserve">Risk of illness from consuming shellfish can be significantly reduced if the product is thoroughly cooked.    </w:t>
      </w:r>
    </w:p>
    <w:p w14:paraId="60E8736A" w14:textId="77777777" w:rsidR="0055093C" w:rsidRDefault="0055093C" w:rsidP="0042215B">
      <w:pPr>
        <w:autoSpaceDE w:val="0"/>
        <w:autoSpaceDN w:val="0"/>
        <w:adjustRightInd w:val="0"/>
        <w:spacing w:after="0" w:line="240" w:lineRule="auto"/>
        <w:jc w:val="both"/>
        <w:rPr>
          <w:rFonts w:ascii="Century" w:eastAsia="Calibri" w:hAnsi="Century" w:cs="Times New Roman"/>
          <w:color w:val="000000"/>
        </w:rPr>
      </w:pPr>
    </w:p>
    <w:p w14:paraId="1BD03187" w14:textId="48A0EE72" w:rsidR="00E96F1C" w:rsidRPr="00FF323C" w:rsidRDefault="00AC18E9" w:rsidP="0042215B">
      <w:pPr>
        <w:autoSpaceDE w:val="0"/>
        <w:autoSpaceDN w:val="0"/>
        <w:adjustRightInd w:val="0"/>
        <w:spacing w:after="0" w:line="240" w:lineRule="auto"/>
        <w:jc w:val="both"/>
        <w:rPr>
          <w:rFonts w:ascii="Century" w:eastAsia="Calibri" w:hAnsi="Century" w:cs="Tahoma"/>
        </w:rPr>
      </w:pPr>
      <w:r w:rsidRPr="00AC18E9">
        <w:rPr>
          <w:rFonts w:ascii="Century" w:eastAsia="Calibri" w:hAnsi="Century" w:cs="Times New Roman"/>
          <w:color w:val="000000"/>
        </w:rPr>
        <w:t>If you are uncertain whether molluscan shellfish have been harvested, handled, processed, or distributed by approved licensed seafood operators contact the Georgia Department of Agriculture at 404-656-362</w:t>
      </w:r>
      <w:r w:rsidR="007E552B">
        <w:rPr>
          <w:rFonts w:ascii="Century" w:eastAsia="Calibri" w:hAnsi="Century" w:cs="Times New Roman"/>
          <w:color w:val="000000"/>
        </w:rPr>
        <w:t>7 for</w:t>
      </w:r>
      <w:r w:rsidRPr="00AC18E9">
        <w:rPr>
          <w:rFonts w:ascii="Century" w:eastAsia="Calibri" w:hAnsi="Century" w:cs="Times New Roman"/>
          <w:color w:val="000000"/>
        </w:rPr>
        <w:t xml:space="preserve"> additional </w:t>
      </w:r>
      <w:r w:rsidR="00CC7BC8" w:rsidRPr="00AC18E9">
        <w:rPr>
          <w:rFonts w:ascii="Century" w:eastAsia="Calibri" w:hAnsi="Century" w:cs="Times New Roman"/>
          <w:color w:val="000000"/>
        </w:rPr>
        <w:t>information</w:t>
      </w:r>
      <w:r w:rsidR="00CC7BC8">
        <w:rPr>
          <w:rFonts w:ascii="Century" w:eastAsia="Calibri" w:hAnsi="Century" w:cs="Times New Roman"/>
          <w:color w:val="000000"/>
        </w:rPr>
        <w:t>.</w:t>
      </w:r>
      <w:r w:rsidR="00CC7BC8" w:rsidRPr="00FF323C">
        <w:rPr>
          <w:rFonts w:ascii="Century" w:eastAsia="Calibri" w:hAnsi="Century" w:cs="Tahoma"/>
        </w:rPr>
        <w:t xml:space="preserve"> For</w:t>
      </w:r>
      <w:r w:rsidR="00E96F1C" w:rsidRPr="00FF323C">
        <w:rPr>
          <w:rFonts w:ascii="Century" w:eastAsia="Calibri" w:hAnsi="Century" w:cs="Tahoma"/>
        </w:rPr>
        <w:t xml:space="preserve"> more information on the oyster harvest closure contact GA DNR/Coastal Resources Division at 912.264.7218.</w:t>
      </w:r>
    </w:p>
    <w:p w14:paraId="1D08D526" w14:textId="77777777" w:rsidR="00E96F1C" w:rsidRDefault="00E96F1C" w:rsidP="00E96F1C">
      <w:pPr>
        <w:spacing w:after="0" w:line="240" w:lineRule="auto"/>
        <w:ind w:left="4320"/>
        <w:jc w:val="both"/>
        <w:rPr>
          <w:rFonts w:ascii="Century" w:eastAsia="Calibri" w:hAnsi="Century" w:cs="Times New Roman"/>
        </w:rPr>
      </w:pPr>
      <w:r w:rsidRPr="00FF323C">
        <w:rPr>
          <w:rFonts w:ascii="Century" w:eastAsia="Calibri" w:hAnsi="Century" w:cs="Times New Roman"/>
        </w:rPr>
        <w:t>###</w:t>
      </w:r>
    </w:p>
    <w:p w14:paraId="6FB4C74E" w14:textId="50A087D8" w:rsidR="00DA4CEC" w:rsidRPr="00E96F1C" w:rsidRDefault="00E96F1C" w:rsidP="00E96F1C">
      <w:pPr>
        <w:spacing w:after="200" w:line="276" w:lineRule="auto"/>
        <w:jc w:val="both"/>
      </w:pPr>
      <w:r w:rsidRPr="00FF323C">
        <w:rPr>
          <w:rFonts w:ascii="Times New Roman" w:eastAsia="Calibri" w:hAnsi="Times New Roman" w:cs="Times New Roman"/>
          <w:sz w:val="24"/>
          <w:szCs w:val="24"/>
        </w:rPr>
        <w:t xml:space="preserve">Media Contact: </w:t>
      </w:r>
      <w:r w:rsidR="009916E3">
        <w:rPr>
          <w:rFonts w:ascii="Times New Roman" w:eastAsia="Calibri" w:hAnsi="Times New Roman" w:cs="Times New Roman"/>
          <w:sz w:val="24"/>
          <w:szCs w:val="24"/>
        </w:rPr>
        <w:t>Jill Andrews</w:t>
      </w:r>
      <w:r w:rsidRPr="00FF323C">
        <w:rPr>
          <w:rFonts w:ascii="Times New Roman" w:eastAsia="Calibri" w:hAnsi="Times New Roman" w:cs="Times New Roman"/>
          <w:sz w:val="24"/>
          <w:szCs w:val="24"/>
        </w:rPr>
        <w:t xml:space="preserve"> at</w:t>
      </w:r>
      <w:r w:rsidR="00435E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16E3">
        <w:rPr>
          <w:rFonts w:ascii="Times New Roman" w:eastAsia="Calibri" w:hAnsi="Times New Roman" w:cs="Times New Roman"/>
          <w:sz w:val="24"/>
          <w:szCs w:val="24"/>
        </w:rPr>
        <w:t>jill</w:t>
      </w:r>
      <w:r w:rsidR="00435ECC">
        <w:rPr>
          <w:rFonts w:ascii="Times New Roman" w:eastAsia="Calibri" w:hAnsi="Times New Roman" w:cs="Times New Roman"/>
          <w:sz w:val="24"/>
          <w:szCs w:val="24"/>
        </w:rPr>
        <w:t>.</w:t>
      </w:r>
      <w:r w:rsidR="009916E3">
        <w:rPr>
          <w:rFonts w:ascii="Times New Roman" w:eastAsia="Calibri" w:hAnsi="Times New Roman" w:cs="Times New Roman"/>
          <w:sz w:val="24"/>
          <w:szCs w:val="24"/>
        </w:rPr>
        <w:t>andrews</w:t>
      </w:r>
      <w:r w:rsidR="00435ECC">
        <w:rPr>
          <w:rFonts w:ascii="Times New Roman" w:eastAsia="Calibri" w:hAnsi="Times New Roman" w:cs="Times New Roman"/>
          <w:sz w:val="24"/>
          <w:szCs w:val="24"/>
        </w:rPr>
        <w:t>@dnr.ga.gov</w:t>
      </w:r>
      <w:r w:rsidRPr="00FF323C">
        <w:rPr>
          <w:rFonts w:ascii="Times New Roman" w:eastAsia="Calibri" w:hAnsi="Times New Roman" w:cs="Times New Roman"/>
          <w:sz w:val="24"/>
          <w:szCs w:val="24"/>
        </w:rPr>
        <w:t xml:space="preserve"> 912.26</w:t>
      </w:r>
      <w:r w:rsidR="00435ECC">
        <w:rPr>
          <w:rFonts w:ascii="Times New Roman" w:eastAsia="Calibri" w:hAnsi="Times New Roman" w:cs="Times New Roman"/>
          <w:sz w:val="24"/>
          <w:szCs w:val="24"/>
        </w:rPr>
        <w:t>4.7218</w:t>
      </w:r>
    </w:p>
    <w:sectPr w:rsidR="00DA4CEC" w:rsidRPr="00E96F1C" w:rsidSect="00025FCA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DCD5" w14:textId="77777777" w:rsidR="00F20AFD" w:rsidRDefault="00F20AFD" w:rsidP="00025FCA">
      <w:pPr>
        <w:spacing w:after="0" w:line="240" w:lineRule="auto"/>
      </w:pPr>
      <w:r>
        <w:separator/>
      </w:r>
    </w:p>
  </w:endnote>
  <w:endnote w:type="continuationSeparator" w:id="0">
    <w:p w14:paraId="4918512F" w14:textId="77777777" w:rsidR="00F20AFD" w:rsidRDefault="00F20AFD" w:rsidP="0002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1D93C" w14:textId="77777777" w:rsidR="00F20AFD" w:rsidRDefault="00F20AFD" w:rsidP="00025FCA">
      <w:pPr>
        <w:spacing w:after="0" w:line="240" w:lineRule="auto"/>
      </w:pPr>
      <w:r>
        <w:separator/>
      </w:r>
    </w:p>
  </w:footnote>
  <w:footnote w:type="continuationSeparator" w:id="0">
    <w:p w14:paraId="11770782" w14:textId="77777777" w:rsidR="00F20AFD" w:rsidRDefault="00F20AFD" w:rsidP="00025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D3AF" w14:textId="21A51C51" w:rsidR="00025FCA" w:rsidRDefault="00025FCA">
    <w:pPr>
      <w:pStyle w:val="Header"/>
    </w:pPr>
    <w:r>
      <w:rPr>
        <w:noProof/>
      </w:rPr>
      <w:drawing>
        <wp:inline distT="0" distB="0" distL="0" distR="0" wp14:anchorId="563C26B7" wp14:editId="6DEA16FB">
          <wp:extent cx="5943600" cy="1371600"/>
          <wp:effectExtent l="0" t="0" r="0" b="0"/>
          <wp:docPr id="950265839" name="Picture 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265839" name="Picture 5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37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7CE"/>
    <w:multiLevelType w:val="hybridMultilevel"/>
    <w:tmpl w:val="C39AA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513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CA"/>
    <w:rsid w:val="0002366E"/>
    <w:rsid w:val="00025FCA"/>
    <w:rsid w:val="000269CD"/>
    <w:rsid w:val="000866FF"/>
    <w:rsid w:val="00090627"/>
    <w:rsid w:val="000A063A"/>
    <w:rsid w:val="000C1B3C"/>
    <w:rsid w:val="000E5875"/>
    <w:rsid w:val="000E6308"/>
    <w:rsid w:val="00146D36"/>
    <w:rsid w:val="00153D16"/>
    <w:rsid w:val="00154F5B"/>
    <w:rsid w:val="0017532E"/>
    <w:rsid w:val="001835A1"/>
    <w:rsid w:val="001C38F3"/>
    <w:rsid w:val="001C4A60"/>
    <w:rsid w:val="001E375C"/>
    <w:rsid w:val="001E39B5"/>
    <w:rsid w:val="001E3E20"/>
    <w:rsid w:val="001F5303"/>
    <w:rsid w:val="00207660"/>
    <w:rsid w:val="002742C4"/>
    <w:rsid w:val="002A5203"/>
    <w:rsid w:val="002B40DE"/>
    <w:rsid w:val="002E0616"/>
    <w:rsid w:val="002E2C6E"/>
    <w:rsid w:val="00311E95"/>
    <w:rsid w:val="00332FC4"/>
    <w:rsid w:val="0034753D"/>
    <w:rsid w:val="003526D3"/>
    <w:rsid w:val="00366863"/>
    <w:rsid w:val="0041576C"/>
    <w:rsid w:val="0042215B"/>
    <w:rsid w:val="00425815"/>
    <w:rsid w:val="00435ECC"/>
    <w:rsid w:val="00481EDA"/>
    <w:rsid w:val="004861FB"/>
    <w:rsid w:val="004E6E7C"/>
    <w:rsid w:val="00520F9D"/>
    <w:rsid w:val="0053377C"/>
    <w:rsid w:val="0053646E"/>
    <w:rsid w:val="005366D0"/>
    <w:rsid w:val="0055093C"/>
    <w:rsid w:val="005615AE"/>
    <w:rsid w:val="00576B67"/>
    <w:rsid w:val="005846FC"/>
    <w:rsid w:val="005A0259"/>
    <w:rsid w:val="005A4D2B"/>
    <w:rsid w:val="005B3E44"/>
    <w:rsid w:val="005B66F6"/>
    <w:rsid w:val="005D2215"/>
    <w:rsid w:val="005E7459"/>
    <w:rsid w:val="005F2480"/>
    <w:rsid w:val="00604479"/>
    <w:rsid w:val="00607B24"/>
    <w:rsid w:val="00644844"/>
    <w:rsid w:val="0069002B"/>
    <w:rsid w:val="006B6CA3"/>
    <w:rsid w:val="006D1856"/>
    <w:rsid w:val="006F1968"/>
    <w:rsid w:val="00735024"/>
    <w:rsid w:val="00751A82"/>
    <w:rsid w:val="00753974"/>
    <w:rsid w:val="00766113"/>
    <w:rsid w:val="007A0FA7"/>
    <w:rsid w:val="007B3DBC"/>
    <w:rsid w:val="007D1289"/>
    <w:rsid w:val="007D4D2E"/>
    <w:rsid w:val="007E552B"/>
    <w:rsid w:val="007E6E81"/>
    <w:rsid w:val="00833C76"/>
    <w:rsid w:val="008473D5"/>
    <w:rsid w:val="008971BB"/>
    <w:rsid w:val="008A1868"/>
    <w:rsid w:val="008A5F23"/>
    <w:rsid w:val="008A7FDC"/>
    <w:rsid w:val="008D7CD8"/>
    <w:rsid w:val="00906A61"/>
    <w:rsid w:val="00916C52"/>
    <w:rsid w:val="00936134"/>
    <w:rsid w:val="0098169B"/>
    <w:rsid w:val="009916E3"/>
    <w:rsid w:val="009A28C9"/>
    <w:rsid w:val="009F6224"/>
    <w:rsid w:val="00A5149F"/>
    <w:rsid w:val="00A52798"/>
    <w:rsid w:val="00AB7791"/>
    <w:rsid w:val="00AC18E9"/>
    <w:rsid w:val="00AD6CE0"/>
    <w:rsid w:val="00B73C26"/>
    <w:rsid w:val="00BA29DC"/>
    <w:rsid w:val="00BC4AF7"/>
    <w:rsid w:val="00C01FC1"/>
    <w:rsid w:val="00C1236B"/>
    <w:rsid w:val="00C65766"/>
    <w:rsid w:val="00C822B4"/>
    <w:rsid w:val="00C928BB"/>
    <w:rsid w:val="00CB107D"/>
    <w:rsid w:val="00CC7BC8"/>
    <w:rsid w:val="00CD5273"/>
    <w:rsid w:val="00CE2AE4"/>
    <w:rsid w:val="00CE7D5C"/>
    <w:rsid w:val="00CF17BA"/>
    <w:rsid w:val="00D005C0"/>
    <w:rsid w:val="00D73A91"/>
    <w:rsid w:val="00DA22DF"/>
    <w:rsid w:val="00DA4CEC"/>
    <w:rsid w:val="00DB5D34"/>
    <w:rsid w:val="00DD7777"/>
    <w:rsid w:val="00E04789"/>
    <w:rsid w:val="00E3140B"/>
    <w:rsid w:val="00E66A90"/>
    <w:rsid w:val="00E779D5"/>
    <w:rsid w:val="00E80A16"/>
    <w:rsid w:val="00E82E94"/>
    <w:rsid w:val="00E841A1"/>
    <w:rsid w:val="00E93CBA"/>
    <w:rsid w:val="00E96F1C"/>
    <w:rsid w:val="00EB17F1"/>
    <w:rsid w:val="00EB63D4"/>
    <w:rsid w:val="00EB7165"/>
    <w:rsid w:val="00F12732"/>
    <w:rsid w:val="00F130A3"/>
    <w:rsid w:val="00F20AFD"/>
    <w:rsid w:val="00F44A78"/>
    <w:rsid w:val="00F5213D"/>
    <w:rsid w:val="00F61375"/>
    <w:rsid w:val="00FA5F17"/>
    <w:rsid w:val="00FA5F58"/>
    <w:rsid w:val="00FB05B1"/>
    <w:rsid w:val="00FB4DC4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148AE"/>
  <w15:chartTrackingRefBased/>
  <w15:docId w15:val="{F54F25A4-45A8-4D85-AAD0-3B321F22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EC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4CE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FCA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25FCA"/>
  </w:style>
  <w:style w:type="paragraph" w:styleId="Footer">
    <w:name w:val="footer"/>
    <w:basedOn w:val="Normal"/>
    <w:link w:val="FooterChar"/>
    <w:uiPriority w:val="99"/>
    <w:unhideWhenUsed/>
    <w:rsid w:val="00025FCA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25FCA"/>
  </w:style>
  <w:style w:type="character" w:customStyle="1" w:styleId="Heading1Char">
    <w:name w:val="Heading 1 Char"/>
    <w:basedOn w:val="DefaultParagraphFont"/>
    <w:link w:val="Heading1"/>
    <w:rsid w:val="00DA4CE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DA4CEC"/>
    <w:pPr>
      <w:widowControl w:val="0"/>
      <w:snapToGrid w:val="0"/>
      <w:spacing w:after="0"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DA4CEC"/>
    <w:rPr>
      <w:rFonts w:ascii="Times" w:eastAsia="Times New Roman" w:hAnsi="Times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84500-D9C4-472F-A9B7-5EF912CE72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Georgia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Tyler</dc:creator>
  <cp:keywords/>
  <dc:description/>
  <cp:lastModifiedBy>Haymans, Doug</cp:lastModifiedBy>
  <cp:revision>2</cp:revision>
  <cp:lastPrinted>2025-05-15T20:24:00Z</cp:lastPrinted>
  <dcterms:created xsi:type="dcterms:W3CDTF">2026-10-06T20:49:00Z</dcterms:created>
  <dcterms:modified xsi:type="dcterms:W3CDTF">2026-10-06T20:49:00Z</dcterms:modified>
</cp:coreProperties>
</file>